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4E" w:rsidRPr="0060554E" w:rsidRDefault="0060554E" w:rsidP="0060554E">
      <w:pPr>
        <w:pStyle w:val="Default"/>
        <w:rPr>
          <w:rFonts w:asciiTheme="minorHAnsi" w:hAnsiTheme="minorHAnsi" w:cstheme="minorHAnsi"/>
          <w:b/>
          <w:bCs/>
          <w:sz w:val="22"/>
          <w:szCs w:val="22"/>
        </w:rPr>
      </w:pPr>
      <w:bookmarkStart w:id="0" w:name="_GoBack"/>
      <w:bookmarkEnd w:id="0"/>
      <w:r w:rsidRPr="0060554E">
        <w:rPr>
          <w:rFonts w:asciiTheme="minorHAnsi" w:hAnsiTheme="minorHAnsi" w:cstheme="minorHAnsi"/>
          <w:b/>
          <w:bCs/>
          <w:sz w:val="22"/>
          <w:szCs w:val="22"/>
        </w:rPr>
        <w:t xml:space="preserve">Note accompanying the proposed indicators for the health target (SDG 3) </w:t>
      </w:r>
    </w:p>
    <w:p w:rsidR="0060554E" w:rsidRDefault="0060554E" w:rsidP="0060554E">
      <w:pPr>
        <w:pStyle w:val="Default"/>
        <w:rPr>
          <w:rFonts w:asciiTheme="minorHAnsi" w:hAnsiTheme="minorHAnsi" w:cstheme="minorHAnsi"/>
          <w:bCs/>
          <w:sz w:val="22"/>
          <w:szCs w:val="22"/>
        </w:rPr>
      </w:pPr>
    </w:p>
    <w:p w:rsidR="00CA0220" w:rsidRDefault="00CA0220" w:rsidP="0060554E">
      <w:pPr>
        <w:pStyle w:val="Default"/>
        <w:rPr>
          <w:rFonts w:asciiTheme="minorHAnsi" w:hAnsiTheme="minorHAnsi" w:cstheme="minorHAnsi"/>
          <w:bCs/>
          <w:i/>
          <w:sz w:val="22"/>
          <w:szCs w:val="22"/>
        </w:rPr>
      </w:pPr>
      <w:r>
        <w:rPr>
          <w:rFonts w:asciiTheme="minorHAnsi" w:hAnsiTheme="minorHAnsi" w:cstheme="minorHAnsi"/>
          <w:bCs/>
          <w:sz w:val="22"/>
          <w:szCs w:val="22"/>
        </w:rPr>
        <w:t xml:space="preserve">The attached table has corrected mistakes and inadvertent omissions of indicators in the previous “two-per-target” indicator version.  We have also attached a document with the metadata for all indicators, extracted from the WHO </w:t>
      </w:r>
      <w:r w:rsidRPr="00CA0220">
        <w:rPr>
          <w:rFonts w:asciiTheme="minorHAnsi" w:hAnsiTheme="minorHAnsi" w:cstheme="minorHAnsi"/>
          <w:bCs/>
          <w:i/>
          <w:sz w:val="22"/>
          <w:szCs w:val="22"/>
        </w:rPr>
        <w:t>Global Reference List of 100 Health Indicator</w:t>
      </w:r>
      <w:r>
        <w:rPr>
          <w:rFonts w:asciiTheme="minorHAnsi" w:hAnsiTheme="minorHAnsi" w:cstheme="minorHAnsi"/>
          <w:bCs/>
          <w:i/>
          <w:sz w:val="22"/>
          <w:szCs w:val="22"/>
        </w:rPr>
        <w:t>s.</w:t>
      </w:r>
    </w:p>
    <w:p w:rsidR="00CA0220" w:rsidRDefault="00CA0220" w:rsidP="0060554E">
      <w:pPr>
        <w:pStyle w:val="Default"/>
        <w:rPr>
          <w:rFonts w:asciiTheme="minorHAnsi" w:hAnsiTheme="minorHAnsi" w:cstheme="minorHAnsi"/>
          <w:bCs/>
          <w:i/>
          <w:sz w:val="22"/>
          <w:szCs w:val="22"/>
        </w:rPr>
      </w:pPr>
    </w:p>
    <w:p w:rsidR="0060554E" w:rsidRDefault="00CA0220" w:rsidP="0060554E">
      <w:pPr>
        <w:pStyle w:val="Default"/>
        <w:rPr>
          <w:rFonts w:asciiTheme="minorHAnsi" w:hAnsiTheme="minorHAnsi" w:cstheme="minorHAnsi"/>
          <w:bCs/>
          <w:sz w:val="22"/>
          <w:szCs w:val="22"/>
        </w:rPr>
      </w:pPr>
      <w:r>
        <w:rPr>
          <w:rFonts w:asciiTheme="minorHAnsi" w:hAnsiTheme="minorHAnsi" w:cstheme="minorHAnsi"/>
          <w:bCs/>
          <w:sz w:val="22"/>
          <w:szCs w:val="22"/>
        </w:rPr>
        <w:t xml:space="preserve">The focus of the proposed indicators is on global monitoring. The monitoring of progress towards each target will be supported by more extensive thematic monitoring by responsible UN agencies, as documented in the table. </w:t>
      </w:r>
      <w:r w:rsidR="0060554E">
        <w:rPr>
          <w:rFonts w:asciiTheme="minorHAnsi" w:hAnsiTheme="minorHAnsi" w:cstheme="minorHAnsi"/>
          <w:bCs/>
          <w:sz w:val="22"/>
          <w:szCs w:val="22"/>
        </w:rPr>
        <w:t xml:space="preserve">Regional and country </w:t>
      </w:r>
      <w:r w:rsidR="00F614FE">
        <w:rPr>
          <w:rFonts w:asciiTheme="minorHAnsi" w:hAnsiTheme="minorHAnsi" w:cstheme="minorHAnsi"/>
          <w:bCs/>
          <w:sz w:val="22"/>
          <w:szCs w:val="22"/>
        </w:rPr>
        <w:t xml:space="preserve">health </w:t>
      </w:r>
      <w:r w:rsidR="0060554E">
        <w:rPr>
          <w:rFonts w:asciiTheme="minorHAnsi" w:hAnsiTheme="minorHAnsi" w:cstheme="minorHAnsi"/>
          <w:bCs/>
          <w:sz w:val="22"/>
          <w:szCs w:val="22"/>
        </w:rPr>
        <w:t>monitoring will have further specificities</w:t>
      </w:r>
    </w:p>
    <w:p w:rsidR="0060554E" w:rsidRDefault="0060554E" w:rsidP="0060554E">
      <w:pPr>
        <w:pStyle w:val="Default"/>
        <w:rPr>
          <w:rFonts w:asciiTheme="minorHAnsi" w:hAnsiTheme="minorHAnsi" w:cstheme="minorHAnsi"/>
          <w:bCs/>
          <w:sz w:val="22"/>
          <w:szCs w:val="22"/>
        </w:rPr>
      </w:pPr>
    </w:p>
    <w:p w:rsidR="00F614FE" w:rsidRDefault="00CA0220" w:rsidP="0060554E">
      <w:pPr>
        <w:pStyle w:val="Default"/>
        <w:rPr>
          <w:rFonts w:asciiTheme="minorHAnsi" w:hAnsiTheme="minorHAnsi" w:cstheme="minorHAnsi"/>
          <w:bCs/>
          <w:sz w:val="22"/>
          <w:szCs w:val="22"/>
        </w:rPr>
      </w:pPr>
      <w:r>
        <w:rPr>
          <w:rFonts w:asciiTheme="minorHAnsi" w:hAnsiTheme="minorHAnsi" w:cstheme="minorHAnsi"/>
          <w:bCs/>
          <w:sz w:val="22"/>
          <w:szCs w:val="22"/>
        </w:rPr>
        <w:t xml:space="preserve">The table of indicators is based on broad </w:t>
      </w:r>
      <w:r w:rsidR="00ED0DF9">
        <w:rPr>
          <w:rFonts w:asciiTheme="minorHAnsi" w:hAnsiTheme="minorHAnsi" w:cstheme="minorHAnsi"/>
          <w:bCs/>
          <w:sz w:val="22"/>
          <w:szCs w:val="22"/>
        </w:rPr>
        <w:t xml:space="preserve">consultation and general </w:t>
      </w:r>
      <w:r>
        <w:rPr>
          <w:rFonts w:asciiTheme="minorHAnsi" w:hAnsiTheme="minorHAnsi" w:cstheme="minorHAnsi"/>
          <w:bCs/>
          <w:sz w:val="22"/>
          <w:szCs w:val="22"/>
        </w:rPr>
        <w:t>a</w:t>
      </w:r>
      <w:r w:rsidR="0060554E">
        <w:rPr>
          <w:rFonts w:asciiTheme="minorHAnsi" w:hAnsiTheme="minorHAnsi" w:cstheme="minorHAnsi"/>
          <w:bCs/>
          <w:sz w:val="22"/>
          <w:szCs w:val="22"/>
        </w:rPr>
        <w:t>greement</w:t>
      </w:r>
      <w:r>
        <w:rPr>
          <w:rFonts w:asciiTheme="minorHAnsi" w:hAnsiTheme="minorHAnsi" w:cstheme="minorHAnsi"/>
          <w:bCs/>
          <w:sz w:val="22"/>
          <w:szCs w:val="22"/>
        </w:rPr>
        <w:t xml:space="preserve"> of the agencies working in health including WHO, UNFPA, UNICEF, UNODC, UNAIDS, World Bank and UN Women.  There </w:t>
      </w:r>
      <w:proofErr w:type="gramStart"/>
      <w:r w:rsidR="00F614FE">
        <w:rPr>
          <w:rFonts w:asciiTheme="minorHAnsi" w:hAnsiTheme="minorHAnsi" w:cstheme="minorHAnsi"/>
          <w:bCs/>
          <w:sz w:val="22"/>
          <w:szCs w:val="22"/>
        </w:rPr>
        <w:t>are</w:t>
      </w:r>
      <w:proofErr w:type="gramEnd"/>
      <w:r w:rsidR="00F614FE">
        <w:rPr>
          <w:rFonts w:asciiTheme="minorHAnsi" w:hAnsiTheme="minorHAnsi" w:cstheme="minorHAnsi"/>
          <w:bCs/>
          <w:sz w:val="22"/>
          <w:szCs w:val="22"/>
        </w:rPr>
        <w:t xml:space="preserve"> </w:t>
      </w:r>
      <w:r>
        <w:rPr>
          <w:rFonts w:asciiTheme="minorHAnsi" w:hAnsiTheme="minorHAnsi" w:cstheme="minorHAnsi"/>
          <w:bCs/>
          <w:sz w:val="22"/>
          <w:szCs w:val="22"/>
        </w:rPr>
        <w:t>however</w:t>
      </w:r>
      <w:r w:rsidR="00F614FE">
        <w:rPr>
          <w:rFonts w:asciiTheme="minorHAnsi" w:hAnsiTheme="minorHAnsi" w:cstheme="minorHAnsi"/>
          <w:bCs/>
          <w:sz w:val="22"/>
          <w:szCs w:val="22"/>
        </w:rPr>
        <w:t xml:space="preserve"> proposals for </w:t>
      </w:r>
      <w:r>
        <w:rPr>
          <w:rFonts w:asciiTheme="minorHAnsi" w:hAnsiTheme="minorHAnsi" w:cstheme="minorHAnsi"/>
          <w:bCs/>
          <w:sz w:val="22"/>
          <w:szCs w:val="22"/>
        </w:rPr>
        <w:t xml:space="preserve">additional indicators such as </w:t>
      </w:r>
      <w:r w:rsidR="00F614FE">
        <w:rPr>
          <w:rFonts w:asciiTheme="minorHAnsi" w:hAnsiTheme="minorHAnsi" w:cstheme="minorHAnsi"/>
          <w:bCs/>
          <w:sz w:val="22"/>
          <w:szCs w:val="22"/>
        </w:rPr>
        <w:t xml:space="preserve">for </w:t>
      </w:r>
      <w:r>
        <w:rPr>
          <w:rFonts w:asciiTheme="minorHAnsi" w:hAnsiTheme="minorHAnsi" w:cstheme="minorHAnsi"/>
          <w:bCs/>
          <w:sz w:val="22"/>
          <w:szCs w:val="22"/>
        </w:rPr>
        <w:t>target 3.5</w:t>
      </w:r>
      <w:r w:rsidR="00F614FE">
        <w:rPr>
          <w:rFonts w:asciiTheme="minorHAnsi" w:hAnsiTheme="minorHAnsi" w:cstheme="minorHAnsi"/>
          <w:bCs/>
          <w:sz w:val="22"/>
          <w:szCs w:val="22"/>
        </w:rPr>
        <w:t xml:space="preserve"> by UNODC</w:t>
      </w:r>
      <w:r>
        <w:rPr>
          <w:rFonts w:asciiTheme="minorHAnsi" w:hAnsiTheme="minorHAnsi" w:cstheme="minorHAnsi"/>
          <w:bCs/>
          <w:sz w:val="22"/>
          <w:szCs w:val="22"/>
        </w:rPr>
        <w:t xml:space="preserve"> which have </w:t>
      </w:r>
      <w:r w:rsidR="00F614FE">
        <w:rPr>
          <w:rFonts w:asciiTheme="minorHAnsi" w:hAnsiTheme="minorHAnsi" w:cstheme="minorHAnsi"/>
          <w:bCs/>
          <w:sz w:val="22"/>
          <w:szCs w:val="22"/>
        </w:rPr>
        <w:t>not been included</w:t>
      </w:r>
      <w:r>
        <w:rPr>
          <w:rFonts w:asciiTheme="minorHAnsi" w:hAnsiTheme="minorHAnsi" w:cstheme="minorHAnsi"/>
          <w:bCs/>
          <w:sz w:val="22"/>
          <w:szCs w:val="22"/>
        </w:rPr>
        <w:t>.</w:t>
      </w:r>
      <w:r w:rsidR="00F614FE">
        <w:rPr>
          <w:rFonts w:asciiTheme="minorHAnsi" w:hAnsiTheme="minorHAnsi" w:cstheme="minorHAnsi"/>
          <w:bCs/>
          <w:sz w:val="22"/>
          <w:szCs w:val="22"/>
        </w:rPr>
        <w:t xml:space="preserve">  The requested ranking (1/2) within targets is included, but may need further discussion. </w:t>
      </w:r>
    </w:p>
    <w:p w:rsidR="00F614FE" w:rsidRDefault="00F614FE" w:rsidP="0060554E">
      <w:pPr>
        <w:pStyle w:val="Default"/>
        <w:rPr>
          <w:rFonts w:asciiTheme="minorHAnsi" w:hAnsiTheme="minorHAnsi" w:cstheme="minorHAnsi"/>
          <w:bCs/>
          <w:sz w:val="22"/>
          <w:szCs w:val="22"/>
        </w:rPr>
      </w:pPr>
    </w:p>
    <w:p w:rsidR="0060554E" w:rsidRDefault="0060554E" w:rsidP="0060554E">
      <w:pPr>
        <w:pStyle w:val="Default"/>
        <w:rPr>
          <w:rFonts w:asciiTheme="minorHAnsi" w:hAnsiTheme="minorHAnsi" w:cstheme="minorHAnsi"/>
          <w:bCs/>
          <w:sz w:val="22"/>
          <w:szCs w:val="22"/>
        </w:rPr>
      </w:pPr>
      <w:r>
        <w:rPr>
          <w:rFonts w:asciiTheme="minorHAnsi" w:hAnsiTheme="minorHAnsi" w:cstheme="minorHAnsi"/>
          <w:bCs/>
          <w:sz w:val="22"/>
          <w:szCs w:val="22"/>
        </w:rPr>
        <w:t xml:space="preserve">Universal health coverage </w:t>
      </w:r>
      <w:r w:rsidR="00CA0220">
        <w:rPr>
          <w:rFonts w:asciiTheme="minorHAnsi" w:hAnsiTheme="minorHAnsi" w:cstheme="minorHAnsi"/>
          <w:bCs/>
          <w:sz w:val="22"/>
          <w:szCs w:val="22"/>
        </w:rPr>
        <w:t>(target 3.8)</w:t>
      </w:r>
      <w:r w:rsidR="003D4E8C">
        <w:rPr>
          <w:rFonts w:asciiTheme="minorHAnsi" w:hAnsiTheme="minorHAnsi" w:cstheme="minorHAnsi"/>
          <w:bCs/>
          <w:sz w:val="22"/>
          <w:szCs w:val="22"/>
        </w:rPr>
        <w:t>,</w:t>
      </w:r>
      <w:r w:rsidR="00CA0220">
        <w:rPr>
          <w:rFonts w:asciiTheme="minorHAnsi" w:hAnsiTheme="minorHAnsi" w:cstheme="minorHAnsi"/>
          <w:bCs/>
          <w:sz w:val="22"/>
          <w:szCs w:val="22"/>
        </w:rPr>
        <w:t xml:space="preserve"> </w:t>
      </w:r>
      <w:r w:rsidR="003D4E8C">
        <w:rPr>
          <w:rFonts w:asciiTheme="minorHAnsi" w:hAnsiTheme="minorHAnsi" w:cstheme="minorHAnsi"/>
          <w:bCs/>
          <w:sz w:val="22"/>
          <w:szCs w:val="22"/>
        </w:rPr>
        <w:t xml:space="preserve">defined as </w:t>
      </w:r>
      <w:r w:rsidR="003D4E8C" w:rsidRPr="00996C9B">
        <w:rPr>
          <w:rFonts w:asciiTheme="minorHAnsi" w:hAnsiTheme="minorHAnsi" w:cstheme="minorHAnsi"/>
          <w:sz w:val="22"/>
          <w:szCs w:val="22"/>
        </w:rPr>
        <w:t>people receiving the services they need without incurring financial hardship</w:t>
      </w:r>
      <w:r w:rsidR="003D4E8C">
        <w:rPr>
          <w:rFonts w:asciiTheme="minorHAnsi" w:hAnsiTheme="minorHAnsi" w:cstheme="minorHAnsi"/>
          <w:sz w:val="22"/>
          <w:szCs w:val="22"/>
        </w:rPr>
        <w:t>,</w:t>
      </w:r>
      <w:r w:rsidR="003D4E8C">
        <w:rPr>
          <w:rFonts w:asciiTheme="minorHAnsi" w:hAnsiTheme="minorHAnsi" w:cstheme="minorHAnsi"/>
          <w:bCs/>
          <w:sz w:val="22"/>
          <w:szCs w:val="22"/>
        </w:rPr>
        <w:t xml:space="preserve"> </w:t>
      </w:r>
      <w:r w:rsidR="00CA0220">
        <w:rPr>
          <w:rFonts w:asciiTheme="minorHAnsi" w:hAnsiTheme="minorHAnsi" w:cstheme="minorHAnsi"/>
          <w:bCs/>
          <w:sz w:val="22"/>
          <w:szCs w:val="22"/>
        </w:rPr>
        <w:t xml:space="preserve">requires the </w:t>
      </w:r>
      <w:r w:rsidR="00CA0220" w:rsidRPr="008340A4">
        <w:rPr>
          <w:rFonts w:asciiTheme="minorHAnsi" w:hAnsiTheme="minorHAnsi" w:cstheme="minorHAnsi"/>
          <w:bCs/>
          <w:i/>
          <w:sz w:val="22"/>
          <w:szCs w:val="22"/>
        </w:rPr>
        <w:t xml:space="preserve">simultaneous </w:t>
      </w:r>
      <w:r w:rsidR="00CA0220">
        <w:rPr>
          <w:rFonts w:asciiTheme="minorHAnsi" w:hAnsiTheme="minorHAnsi" w:cstheme="minorHAnsi"/>
          <w:bCs/>
          <w:sz w:val="22"/>
          <w:szCs w:val="22"/>
        </w:rPr>
        <w:t xml:space="preserve">monitoring of </w:t>
      </w:r>
      <w:r w:rsidR="003D4E8C">
        <w:rPr>
          <w:rFonts w:asciiTheme="minorHAnsi" w:hAnsiTheme="minorHAnsi" w:cstheme="minorHAnsi"/>
          <w:bCs/>
          <w:sz w:val="22"/>
          <w:szCs w:val="22"/>
        </w:rPr>
        <w:t xml:space="preserve">coverage of </w:t>
      </w:r>
      <w:r w:rsidR="00CA0220">
        <w:rPr>
          <w:rFonts w:asciiTheme="minorHAnsi" w:hAnsiTheme="minorHAnsi" w:cstheme="minorHAnsi"/>
          <w:bCs/>
          <w:sz w:val="22"/>
          <w:szCs w:val="22"/>
        </w:rPr>
        <w:t>intervention and financial protection from catastrophic expenses</w:t>
      </w:r>
      <w:r w:rsidR="003D4E8C">
        <w:rPr>
          <w:rFonts w:asciiTheme="minorHAnsi" w:hAnsiTheme="minorHAnsi" w:cstheme="minorHAnsi"/>
          <w:bCs/>
          <w:sz w:val="22"/>
          <w:szCs w:val="22"/>
        </w:rPr>
        <w:t>, disaggregated by key stratifiers such as socioeconomic status</w:t>
      </w:r>
      <w:r w:rsidR="00CA0220">
        <w:rPr>
          <w:rFonts w:asciiTheme="minorHAnsi" w:hAnsiTheme="minorHAnsi" w:cstheme="minorHAnsi"/>
          <w:bCs/>
          <w:sz w:val="22"/>
          <w:szCs w:val="22"/>
        </w:rPr>
        <w:t xml:space="preserve">. </w:t>
      </w:r>
      <w:r w:rsidR="008340A4">
        <w:rPr>
          <w:rFonts w:asciiTheme="minorHAnsi" w:hAnsiTheme="minorHAnsi" w:cstheme="minorHAnsi"/>
          <w:bCs/>
          <w:sz w:val="22"/>
          <w:szCs w:val="22"/>
        </w:rPr>
        <w:t xml:space="preserve">Target 3.8 is a critical target for all health targets, as it provides a </w:t>
      </w:r>
      <w:r w:rsidR="008340A4" w:rsidRPr="00996C9B">
        <w:rPr>
          <w:rFonts w:asciiTheme="minorHAnsi" w:hAnsiTheme="minorHAnsi" w:cstheme="minorHAnsi"/>
          <w:sz w:val="22"/>
          <w:szCs w:val="22"/>
        </w:rPr>
        <w:t>frame for an integrated approach in health, rather than siloes along the lines of the health targets</w:t>
      </w:r>
      <w:r w:rsidR="008340A4">
        <w:rPr>
          <w:rFonts w:asciiTheme="minorHAnsi" w:hAnsiTheme="minorHAnsi" w:cstheme="minorHAnsi"/>
          <w:sz w:val="22"/>
          <w:szCs w:val="22"/>
        </w:rPr>
        <w:t xml:space="preserve">, </w:t>
      </w:r>
      <w:r w:rsidR="008340A4" w:rsidRPr="00996C9B">
        <w:rPr>
          <w:rFonts w:asciiTheme="minorHAnsi" w:hAnsiTheme="minorHAnsi" w:cstheme="minorHAnsi"/>
          <w:sz w:val="22"/>
          <w:szCs w:val="22"/>
        </w:rPr>
        <w:t>provides an opportunity to mainstream equity monitoring, as UHC has e</w:t>
      </w:r>
      <w:r w:rsidR="008340A4">
        <w:rPr>
          <w:rFonts w:asciiTheme="minorHAnsi" w:hAnsiTheme="minorHAnsi" w:cstheme="minorHAnsi"/>
          <w:sz w:val="22"/>
          <w:szCs w:val="22"/>
        </w:rPr>
        <w:t>quity hardwired in it, and it provides the link between an expanded set of country-specific indicators and a smaller set of tracer indicators for regional and global monitoring.</w:t>
      </w:r>
    </w:p>
    <w:p w:rsidR="003D4E8C" w:rsidRDefault="003D4E8C" w:rsidP="0060554E">
      <w:pPr>
        <w:pStyle w:val="Default"/>
        <w:rPr>
          <w:rFonts w:asciiTheme="minorHAnsi" w:hAnsiTheme="minorHAnsi" w:cstheme="minorHAnsi"/>
          <w:bCs/>
          <w:sz w:val="22"/>
          <w:szCs w:val="22"/>
        </w:rPr>
      </w:pPr>
    </w:p>
    <w:p w:rsidR="003D4E8C" w:rsidRDefault="003D4E8C" w:rsidP="0060554E">
      <w:pPr>
        <w:pStyle w:val="Default"/>
        <w:rPr>
          <w:rFonts w:asciiTheme="minorHAnsi" w:hAnsiTheme="minorHAnsi" w:cstheme="minorHAnsi"/>
          <w:sz w:val="22"/>
          <w:szCs w:val="22"/>
        </w:rPr>
      </w:pPr>
      <w:r w:rsidRPr="00996C9B">
        <w:rPr>
          <w:rFonts w:asciiTheme="minorHAnsi" w:hAnsiTheme="minorHAnsi" w:cstheme="minorHAnsi"/>
          <w:sz w:val="22"/>
          <w:szCs w:val="22"/>
        </w:rPr>
        <w:t xml:space="preserve">The actual </w:t>
      </w:r>
      <w:r>
        <w:rPr>
          <w:rFonts w:asciiTheme="minorHAnsi" w:hAnsiTheme="minorHAnsi" w:cstheme="minorHAnsi"/>
          <w:sz w:val="22"/>
          <w:szCs w:val="22"/>
        </w:rPr>
        <w:t xml:space="preserve">UHC intervention </w:t>
      </w:r>
      <w:r w:rsidRPr="00996C9B">
        <w:rPr>
          <w:rFonts w:asciiTheme="minorHAnsi" w:hAnsiTheme="minorHAnsi" w:cstheme="minorHAnsi"/>
          <w:sz w:val="22"/>
          <w:szCs w:val="22"/>
        </w:rPr>
        <w:t>coverage indicators tracked for monitoring are determined by countries as there are differences in needs, health systems and levels of socioeconomic development. UHC is about progressive realization.</w:t>
      </w:r>
      <w:r>
        <w:rPr>
          <w:rFonts w:asciiTheme="minorHAnsi" w:hAnsiTheme="minorHAnsi" w:cstheme="minorHAnsi"/>
          <w:sz w:val="22"/>
          <w:szCs w:val="22"/>
        </w:rPr>
        <w:t xml:space="preserve"> Global monitoring focuses on a set of tracer indicators that is relevant to all countries. The first global monitoring report will be published in June 2015 by WHO and the World Bank Group. The tracer</w:t>
      </w:r>
      <w:r w:rsidR="008340A4">
        <w:rPr>
          <w:rFonts w:asciiTheme="minorHAnsi" w:hAnsiTheme="minorHAnsi" w:cstheme="minorHAnsi"/>
          <w:sz w:val="22"/>
          <w:szCs w:val="22"/>
        </w:rPr>
        <w:t>s</w:t>
      </w:r>
      <w:r>
        <w:rPr>
          <w:rFonts w:asciiTheme="minorHAnsi" w:hAnsiTheme="minorHAnsi" w:cstheme="minorHAnsi"/>
          <w:sz w:val="22"/>
          <w:szCs w:val="22"/>
        </w:rPr>
        <w:t xml:space="preserve"> include several indicators listed under the other health targets (e.g. skilled attendance at birth, immunization coverage, family planning coverage, tobacco use, </w:t>
      </w:r>
      <w:r w:rsidR="008340A4">
        <w:rPr>
          <w:rFonts w:asciiTheme="minorHAnsi" w:hAnsiTheme="minorHAnsi" w:cstheme="minorHAnsi"/>
          <w:sz w:val="22"/>
          <w:szCs w:val="22"/>
        </w:rPr>
        <w:t xml:space="preserve"> alcohol misuse) and other indicators that are commonly monitored by countries (e.g. coverage of antiretroviral treatment, TB treatment, hypertension and diabetes coverage).  </w:t>
      </w:r>
      <w:r w:rsidR="00F614FE">
        <w:rPr>
          <w:rFonts w:asciiTheme="minorHAnsi" w:hAnsiTheme="minorHAnsi" w:cstheme="minorHAnsi"/>
          <w:sz w:val="22"/>
          <w:szCs w:val="22"/>
        </w:rPr>
        <w:t>If there is a move towards one indicator per target several of the currently proposed indicators under other targets of goal 3 may end up under target 3.8. This would have broad support from a wide range of stakeholders. Finally, i</w:t>
      </w:r>
      <w:r w:rsidR="008340A4">
        <w:rPr>
          <w:rFonts w:asciiTheme="minorHAnsi" w:hAnsiTheme="minorHAnsi" w:cstheme="minorHAnsi"/>
          <w:sz w:val="22"/>
          <w:szCs w:val="22"/>
        </w:rPr>
        <w:t xml:space="preserve">t would be possible to compute an index from the tracer indicators but this is not the starting point. </w:t>
      </w:r>
    </w:p>
    <w:p w:rsidR="003D4E8C" w:rsidRDefault="003D4E8C" w:rsidP="0060554E">
      <w:pPr>
        <w:pStyle w:val="Default"/>
        <w:rPr>
          <w:rFonts w:asciiTheme="minorHAnsi" w:hAnsiTheme="minorHAnsi" w:cstheme="minorHAnsi"/>
          <w:sz w:val="22"/>
          <w:szCs w:val="22"/>
        </w:rPr>
      </w:pPr>
    </w:p>
    <w:p w:rsidR="003D2721" w:rsidRDefault="008340A4">
      <w:r w:rsidRPr="00F2135A">
        <w:rPr>
          <w:rFonts w:asciiTheme="minorHAnsi" w:hAnsiTheme="minorHAnsi" w:cstheme="minorHAnsi"/>
          <w:bCs/>
          <w:sz w:val="22"/>
          <w:szCs w:val="22"/>
        </w:rPr>
        <w:t>The</w:t>
      </w:r>
      <w:r w:rsidR="00F2135A">
        <w:rPr>
          <w:rFonts w:asciiTheme="minorHAnsi" w:hAnsiTheme="minorHAnsi" w:cstheme="minorHAnsi"/>
          <w:bCs/>
          <w:sz w:val="22"/>
          <w:szCs w:val="22"/>
        </w:rPr>
        <w:t xml:space="preserve"> indicator framework for the SDG is currently focusing at the target level.  This is useful for many purposes but does not obviate the need for </w:t>
      </w:r>
      <w:r w:rsidR="00F2135A" w:rsidRPr="00F2135A">
        <w:rPr>
          <w:rFonts w:asciiTheme="minorHAnsi" w:hAnsiTheme="minorHAnsi" w:cstheme="minorHAnsi"/>
          <w:sz w:val="22"/>
          <w:szCs w:val="22"/>
        </w:rPr>
        <w:t xml:space="preserve">a small number </w:t>
      </w:r>
      <w:r w:rsidR="00F2135A">
        <w:rPr>
          <w:rFonts w:asciiTheme="minorHAnsi" w:hAnsiTheme="minorHAnsi" w:cstheme="minorHAnsi"/>
          <w:sz w:val="22"/>
          <w:szCs w:val="22"/>
        </w:rPr>
        <w:t xml:space="preserve">of high level indicators </w:t>
      </w:r>
      <w:r w:rsidR="00F2135A" w:rsidRPr="00F2135A">
        <w:rPr>
          <w:rFonts w:asciiTheme="minorHAnsi" w:hAnsiTheme="minorHAnsi" w:cstheme="minorHAnsi"/>
          <w:sz w:val="22"/>
          <w:szCs w:val="22"/>
        </w:rPr>
        <w:t xml:space="preserve">that capture progress towards the overall SDG goals of better lives for people and a sustainable healthier planet. </w:t>
      </w:r>
      <w:r w:rsidR="00F2135A">
        <w:rPr>
          <w:rFonts w:asciiTheme="minorHAnsi" w:hAnsiTheme="minorHAnsi" w:cstheme="minorHAnsi"/>
          <w:sz w:val="22"/>
          <w:szCs w:val="22"/>
        </w:rPr>
        <w:t xml:space="preserve"> </w:t>
      </w:r>
      <w:r w:rsidR="00F2135A" w:rsidRPr="00F2135A">
        <w:rPr>
          <w:rFonts w:asciiTheme="minorHAnsi" w:hAnsiTheme="minorHAnsi" w:cstheme="minorHAnsi"/>
          <w:sz w:val="22"/>
          <w:szCs w:val="22"/>
        </w:rPr>
        <w:t xml:space="preserve">SDG progress as a whole can only be communicated if such a set exists. </w:t>
      </w:r>
      <w:r w:rsidR="00F2135A">
        <w:rPr>
          <w:rFonts w:asciiTheme="minorHAnsi" w:hAnsiTheme="minorHAnsi" w:cstheme="minorHAnsi"/>
          <w:sz w:val="22"/>
          <w:szCs w:val="22"/>
        </w:rPr>
        <w:t xml:space="preserve"> One or more health indicators would have to be part of this set and WHO has organized several consultations to find the best measures. It would be highly desirable for the IAEG-SDG to establish a working group to explore a high level core set that cuts across all goals.</w:t>
      </w:r>
    </w:p>
    <w:sectPr w:rsidR="003D272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A7A28"/>
    <w:multiLevelType w:val="hybridMultilevel"/>
    <w:tmpl w:val="5CFA7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6F78286D"/>
    <w:multiLevelType w:val="hybridMultilevel"/>
    <w:tmpl w:val="09E26B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54E"/>
    <w:rsid w:val="00001D7C"/>
    <w:rsid w:val="000053D1"/>
    <w:rsid w:val="0000781F"/>
    <w:rsid w:val="00010B6E"/>
    <w:rsid w:val="00021A9C"/>
    <w:rsid w:val="00054B03"/>
    <w:rsid w:val="00084ACE"/>
    <w:rsid w:val="000C0A74"/>
    <w:rsid w:val="001004CF"/>
    <w:rsid w:val="00152A76"/>
    <w:rsid w:val="00230724"/>
    <w:rsid w:val="00244BE2"/>
    <w:rsid w:val="002A3EAC"/>
    <w:rsid w:val="002C5507"/>
    <w:rsid w:val="00316828"/>
    <w:rsid w:val="00330E08"/>
    <w:rsid w:val="003D2721"/>
    <w:rsid w:val="003D4E8C"/>
    <w:rsid w:val="00410C7D"/>
    <w:rsid w:val="00432D50"/>
    <w:rsid w:val="0047609B"/>
    <w:rsid w:val="004763A8"/>
    <w:rsid w:val="00531984"/>
    <w:rsid w:val="005334C3"/>
    <w:rsid w:val="00565819"/>
    <w:rsid w:val="0058199A"/>
    <w:rsid w:val="005B0F2E"/>
    <w:rsid w:val="00600768"/>
    <w:rsid w:val="0060554E"/>
    <w:rsid w:val="00681780"/>
    <w:rsid w:val="006829EB"/>
    <w:rsid w:val="006A6969"/>
    <w:rsid w:val="006B265A"/>
    <w:rsid w:val="006D7335"/>
    <w:rsid w:val="006E65C8"/>
    <w:rsid w:val="006F101F"/>
    <w:rsid w:val="00742266"/>
    <w:rsid w:val="007A258B"/>
    <w:rsid w:val="007D1E5F"/>
    <w:rsid w:val="00801C93"/>
    <w:rsid w:val="008340A4"/>
    <w:rsid w:val="00843393"/>
    <w:rsid w:val="00852D39"/>
    <w:rsid w:val="008811FF"/>
    <w:rsid w:val="008B37A9"/>
    <w:rsid w:val="008F6954"/>
    <w:rsid w:val="009311B3"/>
    <w:rsid w:val="0099525C"/>
    <w:rsid w:val="009B2D89"/>
    <w:rsid w:val="00A075AD"/>
    <w:rsid w:val="00A52490"/>
    <w:rsid w:val="00A86305"/>
    <w:rsid w:val="00AA22E1"/>
    <w:rsid w:val="00AB1A27"/>
    <w:rsid w:val="00AB2785"/>
    <w:rsid w:val="00AD02C1"/>
    <w:rsid w:val="00AE606C"/>
    <w:rsid w:val="00B41F38"/>
    <w:rsid w:val="00B518A9"/>
    <w:rsid w:val="00B617AE"/>
    <w:rsid w:val="00B713D2"/>
    <w:rsid w:val="00B72455"/>
    <w:rsid w:val="00B82026"/>
    <w:rsid w:val="00B87802"/>
    <w:rsid w:val="00BB69EC"/>
    <w:rsid w:val="00BD6225"/>
    <w:rsid w:val="00C01B95"/>
    <w:rsid w:val="00C41C0C"/>
    <w:rsid w:val="00C760FF"/>
    <w:rsid w:val="00CA0220"/>
    <w:rsid w:val="00CE1C0C"/>
    <w:rsid w:val="00D3136E"/>
    <w:rsid w:val="00DA7827"/>
    <w:rsid w:val="00E06B0E"/>
    <w:rsid w:val="00E11886"/>
    <w:rsid w:val="00E900AF"/>
    <w:rsid w:val="00EC4E28"/>
    <w:rsid w:val="00ED0DF9"/>
    <w:rsid w:val="00F1248C"/>
    <w:rsid w:val="00F16A19"/>
    <w:rsid w:val="00F2135A"/>
    <w:rsid w:val="00F31F0D"/>
    <w:rsid w:val="00F41E99"/>
    <w:rsid w:val="00F42502"/>
    <w:rsid w:val="00F614FE"/>
    <w:rsid w:val="00F83A71"/>
    <w:rsid w:val="00F92F69"/>
    <w:rsid w:val="00FE7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554E"/>
    <w:rPr>
      <w:rFonts w:eastAsiaTheme="minorEastAsia"/>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554E"/>
    <w:pPr>
      <w:autoSpaceDE w:val="0"/>
      <w:autoSpaceDN w:val="0"/>
      <w:adjustRightInd w:val="0"/>
    </w:pPr>
    <w:rPr>
      <w:rFonts w:eastAsiaTheme="minorEastAsia"/>
      <w:color w:val="000000"/>
      <w:sz w:val="24"/>
      <w:szCs w:val="24"/>
      <w:lang w:val="en-GB" w:eastAsia="zh-CN"/>
    </w:rPr>
  </w:style>
  <w:style w:type="paragraph" w:styleId="ListParagraph">
    <w:name w:val="List Paragraph"/>
    <w:basedOn w:val="Normal"/>
    <w:uiPriority w:val="34"/>
    <w:qFormat/>
    <w:rsid w:val="006055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554E"/>
    <w:rPr>
      <w:rFonts w:eastAsiaTheme="minorEastAsia"/>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554E"/>
    <w:pPr>
      <w:autoSpaceDE w:val="0"/>
      <w:autoSpaceDN w:val="0"/>
      <w:adjustRightInd w:val="0"/>
    </w:pPr>
    <w:rPr>
      <w:rFonts w:eastAsiaTheme="minorEastAsia"/>
      <w:color w:val="000000"/>
      <w:sz w:val="24"/>
      <w:szCs w:val="24"/>
      <w:lang w:val="en-GB" w:eastAsia="zh-CN"/>
    </w:rPr>
  </w:style>
  <w:style w:type="paragraph" w:styleId="ListParagraph">
    <w:name w:val="List Paragraph"/>
    <w:basedOn w:val="Normal"/>
    <w:uiPriority w:val="34"/>
    <w:qFormat/>
    <w:rsid w:val="006055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BOERMA, Jan Ties</dc:creator>
  <cp:lastModifiedBy>Benjamin Rae</cp:lastModifiedBy>
  <cp:revision>2</cp:revision>
  <dcterms:created xsi:type="dcterms:W3CDTF">2015-05-15T20:28:00Z</dcterms:created>
  <dcterms:modified xsi:type="dcterms:W3CDTF">2015-05-15T20:28:00Z</dcterms:modified>
</cp:coreProperties>
</file>